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3D5" w:rsidRPr="004B449B" w:rsidRDefault="00FC53D5" w:rsidP="00305434">
      <w:pPr>
        <w:pBdr>
          <w:bottom w:val="single" w:sz="4" w:space="1" w:color="000000"/>
        </w:pBdr>
        <w:rPr>
          <w:b/>
          <w:i/>
          <w:sz w:val="24"/>
          <w:szCs w:val="24"/>
        </w:rPr>
      </w:pPr>
      <w:r w:rsidRPr="004B449B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Nota de premsa </w:t>
      </w:r>
      <w:r w:rsidRPr="004B449B">
        <w:rPr>
          <w:b/>
          <w:i/>
          <w:sz w:val="28"/>
          <w:szCs w:val="28"/>
        </w:rPr>
        <w:t xml:space="preserve">- </w:t>
      </w:r>
      <w:r w:rsidRPr="004B449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</w:rPr>
        <w:t>12/05</w:t>
      </w:r>
      <w:r w:rsidRPr="00FF272A">
        <w:rPr>
          <w:b/>
          <w:i/>
        </w:rPr>
        <w:t>/201</w:t>
      </w:r>
      <w:r>
        <w:rPr>
          <w:b/>
          <w:i/>
        </w:rPr>
        <w:t>6</w:t>
      </w:r>
      <w:r w:rsidRPr="004B449B">
        <w:rPr>
          <w:b/>
          <w:i/>
          <w:sz w:val="24"/>
          <w:szCs w:val="24"/>
        </w:rPr>
        <w:tab/>
      </w:r>
    </w:p>
    <w:p w:rsidR="00FC53D5" w:rsidRDefault="00FC53D5" w:rsidP="00124B9B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  <w:r>
        <w:rPr>
          <w:rFonts w:cs="Calibri"/>
          <w:b/>
          <w:iCs/>
          <w:sz w:val="32"/>
          <w:szCs w:val="32"/>
          <w:lang w:eastAsia="es-ES"/>
        </w:rPr>
        <w:t xml:space="preserve">Un estudi impulsat a Lleida demostra la validesa de l’ecografia arterial per predir la progressió de </w:t>
      </w:r>
      <w:r w:rsidR="00124B9B">
        <w:rPr>
          <w:rFonts w:cs="Calibri"/>
          <w:b/>
          <w:iCs/>
          <w:sz w:val="32"/>
          <w:szCs w:val="32"/>
          <w:lang w:eastAsia="es-ES"/>
        </w:rPr>
        <w:t xml:space="preserve">la </w:t>
      </w:r>
      <w:r>
        <w:rPr>
          <w:rFonts w:cs="Calibri"/>
          <w:b/>
          <w:iCs/>
          <w:sz w:val="32"/>
          <w:szCs w:val="32"/>
          <w:lang w:eastAsia="es-ES"/>
        </w:rPr>
        <w:t>malaltia ateromatosa en pacients amb malaltia renal crònica</w:t>
      </w:r>
    </w:p>
    <w:p w:rsidR="00FC53D5" w:rsidRPr="00247DEC" w:rsidRDefault="00FC53D5" w:rsidP="00247DEC">
      <w:pPr>
        <w:pStyle w:val="Prrafodelista"/>
        <w:spacing w:after="0" w:line="240" w:lineRule="auto"/>
        <w:ind w:left="360"/>
        <w:jc w:val="center"/>
        <w:rPr>
          <w:rFonts w:cs="Calibri"/>
          <w:b/>
          <w:iCs/>
          <w:sz w:val="32"/>
          <w:szCs w:val="32"/>
          <w:lang w:eastAsia="es-ES"/>
        </w:rPr>
      </w:pPr>
    </w:p>
    <w:p w:rsidR="00FC53D5" w:rsidRPr="00B56229" w:rsidRDefault="00FC53D5" w:rsidP="00B56229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b/>
          <w:lang w:eastAsia="es-ES"/>
        </w:rPr>
      </w:pPr>
      <w:r w:rsidRPr="00B56229">
        <w:rPr>
          <w:b/>
          <w:lang w:eastAsia="es-ES"/>
        </w:rPr>
        <w:t>La progressió de la malaltia renal crònica està relacionada amb la progressió de la malaltia ateromatosa (càrrega de greix a les artèries)</w:t>
      </w:r>
    </w:p>
    <w:p w:rsidR="00FC53D5" w:rsidRPr="00FD75FC" w:rsidRDefault="00FC53D5" w:rsidP="00B56229">
      <w:pPr>
        <w:suppressAutoHyphens w:val="0"/>
        <w:spacing w:after="0" w:line="240" w:lineRule="auto"/>
        <w:jc w:val="both"/>
        <w:rPr>
          <w:b/>
          <w:bCs/>
          <w:szCs w:val="18"/>
          <w:lang w:eastAsia="es-ES"/>
        </w:rPr>
      </w:pPr>
    </w:p>
    <w:p w:rsidR="00FC53D5" w:rsidRPr="00FD75FC" w:rsidRDefault="00FC53D5" w:rsidP="00247DE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szCs w:val="18"/>
          <w:lang w:eastAsia="es-ES"/>
        </w:rPr>
      </w:pPr>
      <w:r>
        <w:rPr>
          <w:rFonts w:cs="Calibri"/>
          <w:b/>
          <w:bCs/>
          <w:szCs w:val="18"/>
          <w:lang w:eastAsia="es-ES"/>
        </w:rPr>
        <w:t>Es presenten resultats</w:t>
      </w:r>
      <w:r w:rsidR="00124B9B">
        <w:rPr>
          <w:rFonts w:cs="Calibri"/>
          <w:b/>
          <w:bCs/>
          <w:szCs w:val="18"/>
          <w:lang w:eastAsia="es-ES"/>
        </w:rPr>
        <w:t xml:space="preserve"> del seguiment de pacients del P</w:t>
      </w:r>
      <w:r>
        <w:rPr>
          <w:rFonts w:cs="Calibri"/>
          <w:b/>
          <w:bCs/>
          <w:szCs w:val="18"/>
          <w:lang w:eastAsia="es-ES"/>
        </w:rPr>
        <w:t xml:space="preserve">rojecte NEFRONA, un estudi multicèntric i observacional </w:t>
      </w:r>
      <w:r w:rsidR="00124B9B">
        <w:rPr>
          <w:rFonts w:cs="Calibri"/>
          <w:b/>
          <w:bCs/>
          <w:szCs w:val="18"/>
          <w:lang w:eastAsia="es-ES"/>
        </w:rPr>
        <w:t xml:space="preserve">en </w:t>
      </w:r>
      <w:r>
        <w:rPr>
          <w:rFonts w:cs="Calibri"/>
          <w:b/>
          <w:bCs/>
          <w:szCs w:val="18"/>
          <w:lang w:eastAsia="es-ES"/>
        </w:rPr>
        <w:t>qu</w:t>
      </w:r>
      <w:r w:rsidR="00124B9B">
        <w:rPr>
          <w:rFonts w:cs="Calibri"/>
          <w:b/>
          <w:bCs/>
          <w:szCs w:val="18"/>
          <w:lang w:eastAsia="es-ES"/>
        </w:rPr>
        <w:t xml:space="preserve">è </w:t>
      </w:r>
      <w:r>
        <w:rPr>
          <w:rFonts w:cs="Calibri"/>
          <w:b/>
          <w:bCs/>
          <w:szCs w:val="18"/>
          <w:lang w:eastAsia="es-ES"/>
        </w:rPr>
        <w:t>ha</w:t>
      </w:r>
      <w:r w:rsidR="00124B9B">
        <w:rPr>
          <w:rFonts w:cs="Calibri"/>
          <w:b/>
          <w:bCs/>
          <w:szCs w:val="18"/>
          <w:lang w:eastAsia="es-ES"/>
        </w:rPr>
        <w:t>n</w:t>
      </w:r>
      <w:r>
        <w:rPr>
          <w:rFonts w:cs="Calibri"/>
          <w:b/>
          <w:bCs/>
          <w:szCs w:val="18"/>
          <w:lang w:eastAsia="es-ES"/>
        </w:rPr>
        <w:t xml:space="preserve"> participa</w:t>
      </w:r>
      <w:r w:rsidR="00124B9B">
        <w:rPr>
          <w:rFonts w:cs="Calibri"/>
          <w:b/>
          <w:bCs/>
          <w:szCs w:val="18"/>
          <w:lang w:eastAsia="es-ES"/>
        </w:rPr>
        <w:t>t</w:t>
      </w:r>
      <w:r>
        <w:rPr>
          <w:rFonts w:cs="Calibri"/>
          <w:b/>
          <w:bCs/>
          <w:szCs w:val="18"/>
          <w:lang w:eastAsia="es-ES"/>
        </w:rPr>
        <w:t xml:space="preserve"> més de 80 centres de l’Estat </w:t>
      </w:r>
      <w:r w:rsidR="00124B9B">
        <w:rPr>
          <w:rFonts w:cs="Calibri"/>
          <w:b/>
          <w:bCs/>
          <w:szCs w:val="18"/>
          <w:lang w:eastAsia="es-ES"/>
        </w:rPr>
        <w:t>e</w:t>
      </w:r>
      <w:r>
        <w:rPr>
          <w:rFonts w:cs="Calibri"/>
          <w:b/>
          <w:bCs/>
          <w:szCs w:val="18"/>
          <w:lang w:eastAsia="es-ES"/>
        </w:rPr>
        <w:t>spanyol</w:t>
      </w:r>
    </w:p>
    <w:p w:rsidR="00FC53D5" w:rsidRPr="00247DEC" w:rsidRDefault="00FC53D5" w:rsidP="00A62C10">
      <w:pPr>
        <w:suppressAutoHyphens w:val="0"/>
        <w:spacing w:after="0" w:line="240" w:lineRule="auto"/>
        <w:jc w:val="both"/>
        <w:rPr>
          <w:szCs w:val="18"/>
          <w:lang w:eastAsia="es-ES"/>
        </w:rPr>
      </w:pPr>
    </w:p>
    <w:p w:rsidR="00FC53D5" w:rsidRPr="00FD75FC" w:rsidRDefault="00FC53D5" w:rsidP="00FD75FC">
      <w:pPr>
        <w:suppressAutoHyphens w:val="0"/>
        <w:spacing w:after="0" w:line="240" w:lineRule="auto"/>
        <w:jc w:val="both"/>
        <w:rPr>
          <w:szCs w:val="18"/>
          <w:lang w:eastAsia="es-ES"/>
        </w:rPr>
      </w:pPr>
    </w:p>
    <w:p w:rsidR="00FC53D5" w:rsidRDefault="00FC53D5" w:rsidP="00B56229">
      <w:pPr>
        <w:suppressAutoHyphens w:val="0"/>
        <w:spacing w:after="0" w:line="240" w:lineRule="auto"/>
        <w:jc w:val="both"/>
        <w:rPr>
          <w:lang w:eastAsia="es-ES"/>
        </w:rPr>
      </w:pPr>
      <w:r>
        <w:rPr>
          <w:lang w:eastAsia="es-ES"/>
        </w:rPr>
        <w:t>La progressió de la malaltia renal crònica (MRC) està relacionada amb la progressió de la malaltia ateromatosa (càrrega de greix a les artèries), de manera que es confirma l’associació entre les dues malalties i s’explica per</w:t>
      </w:r>
      <w:r w:rsidR="00CB0CD6">
        <w:rPr>
          <w:lang w:eastAsia="es-ES"/>
        </w:rPr>
        <w:t xml:space="preserve"> </w:t>
      </w:r>
      <w:r>
        <w:rPr>
          <w:lang w:eastAsia="es-ES"/>
        </w:rPr>
        <w:t xml:space="preserve">què </w:t>
      </w:r>
      <w:r w:rsidR="00124B9B">
        <w:rPr>
          <w:lang w:eastAsia="es-ES"/>
        </w:rPr>
        <w:t>é</w:t>
      </w:r>
      <w:r>
        <w:rPr>
          <w:lang w:eastAsia="es-ES"/>
        </w:rPr>
        <w:t xml:space="preserve">s tan elevada la incidència de patologia cardiovascular (ictus o infarts, causats per l’acumulació de greix a les artèries) en els malalts renals, segons un article publicat a la revista </w:t>
      </w:r>
      <w:hyperlink r:id="rId7" w:history="1">
        <w:r w:rsidRPr="001D662D">
          <w:rPr>
            <w:rStyle w:val="Hipervnculo"/>
            <w:rFonts w:cs="Calibri"/>
            <w:b/>
            <w:i/>
            <w:lang w:eastAsia="es-ES"/>
          </w:rPr>
          <w:t>Clinical Journal of the American Society of Nephrology</w:t>
        </w:r>
      </w:hyperlink>
      <w:r>
        <w:rPr>
          <w:lang w:eastAsia="es-ES"/>
        </w:rPr>
        <w:t xml:space="preserve">. El mateix article demostra la validesa de l’ecografia arterial per predir la progressió de malaltia ateromatosa en pacients amb malaltia renal crònica, una tècnica no invasiva, indolora i </w:t>
      </w:r>
      <w:r w:rsidR="00124B9B">
        <w:rPr>
          <w:lang w:eastAsia="es-ES"/>
        </w:rPr>
        <w:t>econòmica</w:t>
      </w:r>
      <w:r>
        <w:rPr>
          <w:lang w:eastAsia="es-ES"/>
        </w:rPr>
        <w:t xml:space="preserve"> que permet fer el diagnòstic precoç i evitar futurs episodis vasculars. </w:t>
      </w:r>
    </w:p>
    <w:p w:rsidR="00FC53D5" w:rsidRDefault="00FC53D5" w:rsidP="00B56229">
      <w:pPr>
        <w:suppressAutoHyphens w:val="0"/>
        <w:spacing w:after="0" w:line="240" w:lineRule="auto"/>
        <w:jc w:val="both"/>
        <w:rPr>
          <w:lang w:eastAsia="es-ES"/>
        </w:rPr>
      </w:pPr>
    </w:p>
    <w:p w:rsidR="00FC53D5" w:rsidRDefault="00FC53D5" w:rsidP="00B56229">
      <w:pPr>
        <w:suppressAutoHyphens w:val="0"/>
        <w:spacing w:after="0" w:line="240" w:lineRule="auto"/>
        <w:jc w:val="both"/>
        <w:rPr>
          <w:lang w:eastAsia="es-ES"/>
        </w:rPr>
      </w:pPr>
      <w:r w:rsidRPr="00B56229">
        <w:rPr>
          <w:lang w:eastAsia="es-ES"/>
        </w:rPr>
        <w:t xml:space="preserve">L’article titulat </w:t>
      </w:r>
      <w:r w:rsidRPr="00CB0CD6">
        <w:rPr>
          <w:lang w:eastAsia="es-ES"/>
        </w:rPr>
        <w:t>“</w:t>
      </w:r>
      <w:r w:rsidRPr="000869FC">
        <w:rPr>
          <w:i/>
          <w:lang w:eastAsia="es-ES"/>
        </w:rPr>
        <w:t>Predictors of Subclinical Atheromatosis Progression over 2 Years in Patients with Different Stages of CKD</w:t>
      </w:r>
      <w:r w:rsidRPr="00CB0CD6">
        <w:rPr>
          <w:lang w:eastAsia="es-ES"/>
        </w:rPr>
        <w:t xml:space="preserve">” </w:t>
      </w:r>
      <w:r>
        <w:rPr>
          <w:lang w:eastAsia="es-ES"/>
        </w:rPr>
        <w:t>es basa en els resultats de l’estudi Nefrona (</w:t>
      </w:r>
      <w:r w:rsidRPr="00CB0CD6">
        <w:rPr>
          <w:lang w:eastAsia="es-ES"/>
        </w:rPr>
        <w:t>Observatorio Nacional de Aterosclerosis en Nefrología</w:t>
      </w:r>
      <w:r>
        <w:rPr>
          <w:lang w:eastAsia="es-ES"/>
        </w:rPr>
        <w:t xml:space="preserve">), un projecte impulsat i liderat per la UDETMA del Servei de Nefrologia de l’Hospital Universitari Arnau de Vilanova i pel </w:t>
      </w:r>
      <w:r w:rsidR="00124B9B">
        <w:rPr>
          <w:lang w:eastAsia="es-ES"/>
        </w:rPr>
        <w:t>Grup d’I</w:t>
      </w:r>
      <w:r>
        <w:rPr>
          <w:lang w:eastAsia="es-ES"/>
        </w:rPr>
        <w:t>nvestigació de Nefrologia Experimental de l’Institut de Recerca Biomèdica de Lleida. Aquest</w:t>
      </w:r>
      <w:r w:rsidR="00124B9B">
        <w:rPr>
          <w:lang w:eastAsia="es-ES"/>
        </w:rPr>
        <w:t>s</w:t>
      </w:r>
      <w:r>
        <w:rPr>
          <w:lang w:eastAsia="es-ES"/>
        </w:rPr>
        <w:t xml:space="preserve"> primers resultats han analitzat les proves realitzades a 1.553 pacients amb MRC, a</w:t>
      </w:r>
      <w:r w:rsidR="00A0059A">
        <w:rPr>
          <w:lang w:eastAsia="es-ES"/>
        </w:rPr>
        <w:t>ls</w:t>
      </w:r>
      <w:r w:rsidR="00CB0CD6">
        <w:rPr>
          <w:lang w:eastAsia="es-ES"/>
        </w:rPr>
        <w:t xml:space="preserve"> quals </w:t>
      </w:r>
      <w:r>
        <w:rPr>
          <w:lang w:eastAsia="es-ES"/>
        </w:rPr>
        <w:t>es va</w:t>
      </w:r>
      <w:r w:rsidR="00CB0CD6">
        <w:rPr>
          <w:lang w:eastAsia="es-ES"/>
        </w:rPr>
        <w:t>n</w:t>
      </w:r>
      <w:r>
        <w:rPr>
          <w:lang w:eastAsia="es-ES"/>
        </w:rPr>
        <w:t xml:space="preserve"> </w:t>
      </w:r>
      <w:r w:rsidR="00CB0CD6">
        <w:rPr>
          <w:lang w:eastAsia="es-ES"/>
        </w:rPr>
        <w:t xml:space="preserve">fer </w:t>
      </w:r>
      <w:r>
        <w:rPr>
          <w:lang w:eastAsia="es-ES"/>
        </w:rPr>
        <w:t>ecografi</w:t>
      </w:r>
      <w:r w:rsidR="00CB0CD6">
        <w:rPr>
          <w:lang w:eastAsia="es-ES"/>
        </w:rPr>
        <w:t>es</w:t>
      </w:r>
      <w:r>
        <w:rPr>
          <w:lang w:eastAsia="es-ES"/>
        </w:rPr>
        <w:t xml:space="preserve"> d’artèries caròtides i femorals en dues ocasions separades per 24 mesos</w:t>
      </w:r>
      <w:r w:rsidR="00124B9B">
        <w:rPr>
          <w:lang w:eastAsia="es-ES"/>
        </w:rPr>
        <w:t>,</w:t>
      </w:r>
      <w:r>
        <w:rPr>
          <w:lang w:eastAsia="es-ES"/>
        </w:rPr>
        <w:t xml:space="preserve"> per veure la seva progressió. </w:t>
      </w:r>
    </w:p>
    <w:p w:rsidR="00FC53D5" w:rsidRDefault="00FC53D5" w:rsidP="00B56229">
      <w:pPr>
        <w:suppressAutoHyphens w:val="0"/>
        <w:spacing w:after="0" w:line="240" w:lineRule="auto"/>
        <w:jc w:val="both"/>
        <w:rPr>
          <w:lang w:eastAsia="es-ES"/>
        </w:rPr>
      </w:pPr>
    </w:p>
    <w:p w:rsidR="00FC53D5" w:rsidRPr="00B56229" w:rsidRDefault="00FC53D5" w:rsidP="00B56229">
      <w:pPr>
        <w:suppressAutoHyphens w:val="0"/>
        <w:spacing w:after="0" w:line="240" w:lineRule="auto"/>
        <w:jc w:val="both"/>
        <w:rPr>
          <w:lang w:eastAsia="es-ES"/>
        </w:rPr>
      </w:pPr>
      <w:r>
        <w:t>Precisament</w:t>
      </w:r>
      <w:r w:rsidR="000869FC">
        <w:t>,</w:t>
      </w:r>
      <w:r>
        <w:t xml:space="preserve"> l’ús de tècniques com l’ecografia arterial també s’està portant a terme en el projecte ‘El </w:t>
      </w:r>
      <w:r w:rsidR="00124B9B">
        <w:t>b</w:t>
      </w:r>
      <w:r>
        <w:t xml:space="preserve">us de la </w:t>
      </w:r>
      <w:r w:rsidR="00124B9B">
        <w:t>s</w:t>
      </w:r>
      <w:r>
        <w:t>alut’</w:t>
      </w:r>
      <w:r w:rsidR="000869FC">
        <w:t>,</w:t>
      </w:r>
      <w:r>
        <w:t xml:space="preserve"> que permetrà conèixer l'estat de salut de les artèries i la prevalença de malaltia renal oculta en una mostra de 9.000 persones de tota la província de Lleida durant tres anys.</w:t>
      </w:r>
    </w:p>
    <w:p w:rsidR="00FC53D5" w:rsidRDefault="00FC53D5" w:rsidP="00FD75FC">
      <w:pPr>
        <w:suppressAutoHyphens w:val="0"/>
        <w:spacing w:after="0" w:line="240" w:lineRule="auto"/>
        <w:jc w:val="both"/>
        <w:rPr>
          <w:szCs w:val="18"/>
          <w:lang w:eastAsia="es-ES"/>
        </w:rPr>
      </w:pPr>
    </w:p>
    <w:p w:rsidR="00FC53D5" w:rsidRPr="009820A9" w:rsidRDefault="00FC53D5" w:rsidP="00FD75FC">
      <w:pPr>
        <w:suppressAutoHyphens w:val="0"/>
        <w:spacing w:after="0" w:line="240" w:lineRule="auto"/>
        <w:jc w:val="both"/>
        <w:rPr>
          <w:b/>
          <w:lang w:eastAsia="es-ES"/>
        </w:rPr>
      </w:pPr>
      <w:r w:rsidRPr="009820A9">
        <w:rPr>
          <w:b/>
          <w:lang w:eastAsia="es-ES"/>
        </w:rPr>
        <w:t>Pro</w:t>
      </w:r>
      <w:r>
        <w:rPr>
          <w:b/>
          <w:lang w:eastAsia="es-ES"/>
        </w:rPr>
        <w:t>jecte NEFRONA</w:t>
      </w:r>
    </w:p>
    <w:p w:rsidR="00FC53D5" w:rsidRDefault="00FC53D5" w:rsidP="00124B9B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projecte NEFRONA és un estudi observacional i multicèntric, </w:t>
      </w:r>
      <w:r w:rsidR="000869FC">
        <w:rPr>
          <w:rFonts w:ascii="Calibri" w:hAnsi="Calibri"/>
          <w:sz w:val="22"/>
          <w:szCs w:val="22"/>
        </w:rPr>
        <w:t xml:space="preserve">en què participen </w:t>
      </w:r>
      <w:r w:rsidR="00124B9B">
        <w:rPr>
          <w:rFonts w:ascii="Calibri" w:hAnsi="Calibri"/>
          <w:sz w:val="22"/>
          <w:szCs w:val="22"/>
        </w:rPr>
        <w:t>més de 80 centres de l’Estat e</w:t>
      </w:r>
      <w:r>
        <w:rPr>
          <w:rFonts w:ascii="Calibri" w:hAnsi="Calibri"/>
          <w:sz w:val="22"/>
          <w:szCs w:val="22"/>
        </w:rPr>
        <w:t>spanyol amb l’objectiu d’establir un model de valoració de malalties cardiovasculars en pacients amb malaltia renal crònica. L’estudi també ha permès avaluar la utilitat de les tècniques d’imatge (per exemple</w:t>
      </w:r>
      <w:r w:rsidR="00124B9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l’ecografia arterial) i </w:t>
      </w:r>
      <w:r w:rsidR="00A0059A">
        <w:rPr>
          <w:rFonts w:ascii="Calibri" w:hAnsi="Calibri"/>
          <w:sz w:val="22"/>
          <w:szCs w:val="22"/>
        </w:rPr>
        <w:t xml:space="preserve">dels </w:t>
      </w:r>
      <w:r>
        <w:rPr>
          <w:rFonts w:ascii="Calibri" w:hAnsi="Calibri"/>
          <w:sz w:val="22"/>
          <w:szCs w:val="22"/>
        </w:rPr>
        <w:t xml:space="preserve">biomarcadors emergents en la predicció del risc cardiovascular en 2.445 pacients amb malaltia renal. Es </w:t>
      </w:r>
      <w:r>
        <w:rPr>
          <w:rFonts w:ascii="Calibri" w:hAnsi="Calibri"/>
          <w:sz w:val="22"/>
          <w:szCs w:val="22"/>
        </w:rPr>
        <w:lastRenderedPageBreak/>
        <w:t>tracta d’un estudi pioner que promou la investigació en patologia vascular i la recollida d’un banc de dades d’imatge</w:t>
      </w:r>
      <w:r w:rsidR="00CB0CD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 de mostres biològiques representatives de la població </w:t>
      </w:r>
      <w:r w:rsidR="000869FC">
        <w:rPr>
          <w:rFonts w:ascii="Calibri" w:hAnsi="Calibri"/>
          <w:sz w:val="22"/>
          <w:szCs w:val="22"/>
        </w:rPr>
        <w:t>de l’Estat espanyol</w:t>
      </w:r>
      <w:r>
        <w:rPr>
          <w:rFonts w:ascii="Calibri" w:hAnsi="Calibri"/>
          <w:sz w:val="22"/>
          <w:szCs w:val="22"/>
        </w:rPr>
        <w:t xml:space="preserve">. El </w:t>
      </w:r>
      <w:r w:rsidR="00124B9B">
        <w:rPr>
          <w:rFonts w:ascii="Calibri" w:hAnsi="Calibri"/>
          <w:sz w:val="22"/>
          <w:szCs w:val="22"/>
        </w:rPr>
        <w:t>període</w:t>
      </w:r>
      <w:r>
        <w:rPr>
          <w:rFonts w:ascii="Calibri" w:hAnsi="Calibri"/>
          <w:sz w:val="22"/>
          <w:szCs w:val="22"/>
        </w:rPr>
        <w:t xml:space="preserve"> de </w:t>
      </w:r>
      <w:r w:rsidR="00124B9B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eclutament i seguiment de</w:t>
      </w:r>
      <w:r w:rsidR="00CB0CD6">
        <w:rPr>
          <w:rFonts w:ascii="Calibri" w:hAnsi="Calibri"/>
          <w:sz w:val="22"/>
          <w:szCs w:val="22"/>
        </w:rPr>
        <w:t>ls</w:t>
      </w:r>
      <w:r>
        <w:rPr>
          <w:rFonts w:ascii="Calibri" w:hAnsi="Calibri"/>
          <w:sz w:val="22"/>
          <w:szCs w:val="22"/>
        </w:rPr>
        <w:t xml:space="preserve"> pacients va ser de</w:t>
      </w:r>
      <w:r w:rsidR="00124B9B">
        <w:rPr>
          <w:rFonts w:ascii="Calibri" w:hAnsi="Calibri"/>
          <w:sz w:val="22"/>
          <w:szCs w:val="22"/>
        </w:rPr>
        <w:t>s de</w:t>
      </w:r>
      <w:r>
        <w:rPr>
          <w:rFonts w:ascii="Calibri" w:hAnsi="Calibri"/>
          <w:sz w:val="22"/>
          <w:szCs w:val="22"/>
        </w:rPr>
        <w:t xml:space="preserve"> 2009 </w:t>
      </w:r>
      <w:r w:rsidR="00124B9B">
        <w:rPr>
          <w:rFonts w:ascii="Calibri" w:hAnsi="Calibri"/>
          <w:sz w:val="22"/>
          <w:szCs w:val="22"/>
        </w:rPr>
        <w:t xml:space="preserve">fins </w:t>
      </w:r>
      <w:r>
        <w:rPr>
          <w:rFonts w:ascii="Calibri" w:hAnsi="Calibri"/>
          <w:sz w:val="22"/>
          <w:szCs w:val="22"/>
        </w:rPr>
        <w:t xml:space="preserve">a 2014. En aquest </w:t>
      </w:r>
      <w:r w:rsidR="00124B9B">
        <w:rPr>
          <w:rFonts w:ascii="Calibri" w:hAnsi="Calibri"/>
          <w:sz w:val="22"/>
          <w:szCs w:val="22"/>
        </w:rPr>
        <w:t>període</w:t>
      </w:r>
      <w:r>
        <w:rPr>
          <w:rFonts w:ascii="Calibri" w:hAnsi="Calibri"/>
          <w:sz w:val="22"/>
          <w:szCs w:val="22"/>
        </w:rPr>
        <w:t xml:space="preserve">, un equip d’infermeres i tècniques d’imatge van viatjar per tot l’Estat realitzant proves no invasives (ecografia arterial, determinació de l’índex turmell-braç) a serveis de nefrologia d’hospitals i a centres de diàlisis. </w:t>
      </w:r>
    </w:p>
    <w:p w:rsidR="00FC53D5" w:rsidRDefault="00FC53D5" w:rsidP="00957F8C">
      <w:pPr>
        <w:suppressAutoHyphens w:val="0"/>
        <w:spacing w:after="0" w:line="240" w:lineRule="auto"/>
        <w:jc w:val="both"/>
        <w:rPr>
          <w:szCs w:val="18"/>
          <w:lang w:eastAsia="es-ES"/>
        </w:rPr>
      </w:pPr>
      <w:r>
        <w:rPr>
          <w:szCs w:val="18"/>
          <w:lang w:eastAsia="es-ES"/>
        </w:rPr>
        <w:t xml:space="preserve">Text: Comunicació i Premsa IRBLleida   </w:t>
      </w:r>
    </w:p>
    <w:sectPr w:rsidR="00FC53D5" w:rsidSect="000A36EA">
      <w:headerReference w:type="default" r:id="rId8"/>
      <w:footerReference w:type="default" r:id="rId9"/>
      <w:pgSz w:w="11906" w:h="16838"/>
      <w:pgMar w:top="2660" w:right="1701" w:bottom="1417" w:left="1701" w:header="993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7B" w:rsidRDefault="008B0A7B">
      <w:r>
        <w:separator/>
      </w:r>
    </w:p>
  </w:endnote>
  <w:endnote w:type="continuationSeparator" w:id="1">
    <w:p w:rsidR="008B0A7B" w:rsidRDefault="008B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D5" w:rsidRPr="00EC10C8" w:rsidRDefault="00FC53D5" w:rsidP="0034674F">
    <w:pPr>
      <w:spacing w:line="240" w:lineRule="auto"/>
      <w:jc w:val="center"/>
      <w:rPr>
        <w:color w:val="808080"/>
        <w:szCs w:val="24"/>
      </w:rPr>
    </w:pPr>
    <w:r w:rsidRPr="002C4F51">
      <w:rPr>
        <w:color w:val="808080"/>
        <w:szCs w:val="24"/>
      </w:rPr>
      <w:t>Comunicació</w:t>
    </w:r>
    <w:r>
      <w:rPr>
        <w:color w:val="808080"/>
        <w:szCs w:val="24"/>
      </w:rPr>
      <w:t xml:space="preserve"> i premsa</w:t>
    </w:r>
    <w:r w:rsidRPr="002C4F51">
      <w:rPr>
        <w:color w:val="808080"/>
        <w:szCs w:val="24"/>
      </w:rPr>
      <w:t xml:space="preserve"> </w:t>
    </w:r>
    <w:r>
      <w:rPr>
        <w:color w:val="808080"/>
        <w:szCs w:val="24"/>
      </w:rPr>
      <w:t xml:space="preserve">IRBLLEIDA · </w:t>
    </w:r>
    <w:hyperlink r:id="rId1" w:history="1">
      <w:r w:rsidRPr="00E56834">
        <w:rPr>
          <w:rStyle w:val="Hipervnculo"/>
          <w:rFonts w:cs="Calibri"/>
          <w:szCs w:val="24"/>
        </w:rPr>
        <w:t>comunicacio@irblleida.cat</w:t>
      </w:r>
    </w:hyperlink>
    <w:r>
      <w:rPr>
        <w:color w:val="808080"/>
        <w:szCs w:val="24"/>
      </w:rPr>
      <w:t>· 608 034 260</w:t>
    </w:r>
  </w:p>
  <w:p w:rsidR="00FC53D5" w:rsidRPr="00EC10C8" w:rsidRDefault="00FC53D5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7B" w:rsidRDefault="008B0A7B">
      <w:r>
        <w:separator/>
      </w:r>
    </w:p>
  </w:footnote>
  <w:footnote w:type="continuationSeparator" w:id="1">
    <w:p w:rsidR="008B0A7B" w:rsidRDefault="008B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D5" w:rsidRDefault="00363876" w:rsidP="00DE7ABB">
    <w:pPr>
      <w:pStyle w:val="Encabezado"/>
      <w:tabs>
        <w:tab w:val="clear" w:pos="4252"/>
        <w:tab w:val="center" w:pos="252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4508500</wp:posOffset>
          </wp:positionH>
          <wp:positionV relativeFrom="paragraph">
            <wp:posOffset>114300</wp:posOffset>
          </wp:positionV>
          <wp:extent cx="819150" cy="3556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108585</wp:posOffset>
          </wp:positionV>
          <wp:extent cx="575310" cy="37655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765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20396" distR="117221" simplePos="0" relativeHeight="251658240" behindDoc="0" locked="0" layoutInCell="1" allowOverlap="1">
          <wp:simplePos x="0" y="0"/>
          <wp:positionH relativeFrom="column">
            <wp:posOffset>2878455</wp:posOffset>
          </wp:positionH>
          <wp:positionV relativeFrom="paragraph">
            <wp:posOffset>205740</wp:posOffset>
          </wp:positionV>
          <wp:extent cx="982345" cy="240665"/>
          <wp:effectExtent l="19050" t="0" r="8255" b="0"/>
          <wp:wrapSquare wrapText="bothSides"/>
          <wp:docPr id="3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20396" distR="114300" simplePos="0" relativeHeight="251657216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118745</wp:posOffset>
          </wp:positionV>
          <wp:extent cx="500380" cy="368300"/>
          <wp:effectExtent l="19050" t="0" r="0" b="0"/>
          <wp:wrapNone/>
          <wp:docPr id="4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A00BE4"/>
    <w:rsid w:val="00003018"/>
    <w:rsid w:val="00004EEC"/>
    <w:rsid w:val="00010601"/>
    <w:rsid w:val="000133BB"/>
    <w:rsid w:val="0001531C"/>
    <w:rsid w:val="000156D4"/>
    <w:rsid w:val="00021FD2"/>
    <w:rsid w:val="00022A9B"/>
    <w:rsid w:val="00022B77"/>
    <w:rsid w:val="00030627"/>
    <w:rsid w:val="00033A5E"/>
    <w:rsid w:val="00037512"/>
    <w:rsid w:val="000408C4"/>
    <w:rsid w:val="00040CBB"/>
    <w:rsid w:val="00041DF0"/>
    <w:rsid w:val="00042722"/>
    <w:rsid w:val="00046DCF"/>
    <w:rsid w:val="00047231"/>
    <w:rsid w:val="00047BE1"/>
    <w:rsid w:val="00057EBE"/>
    <w:rsid w:val="00061DAF"/>
    <w:rsid w:val="000634A0"/>
    <w:rsid w:val="00065B90"/>
    <w:rsid w:val="00066BE0"/>
    <w:rsid w:val="00073C21"/>
    <w:rsid w:val="00074E4E"/>
    <w:rsid w:val="0008109E"/>
    <w:rsid w:val="00086321"/>
    <w:rsid w:val="000869FC"/>
    <w:rsid w:val="00096449"/>
    <w:rsid w:val="000A13DF"/>
    <w:rsid w:val="000A1E97"/>
    <w:rsid w:val="000A36EA"/>
    <w:rsid w:val="000A3CA5"/>
    <w:rsid w:val="000A522E"/>
    <w:rsid w:val="000A587B"/>
    <w:rsid w:val="000A74B9"/>
    <w:rsid w:val="000B5176"/>
    <w:rsid w:val="000B6374"/>
    <w:rsid w:val="000C094C"/>
    <w:rsid w:val="000C2930"/>
    <w:rsid w:val="000C7D0A"/>
    <w:rsid w:val="000D1C6A"/>
    <w:rsid w:val="000D7269"/>
    <w:rsid w:val="000E2BC0"/>
    <w:rsid w:val="000F36EA"/>
    <w:rsid w:val="00105CE1"/>
    <w:rsid w:val="00110817"/>
    <w:rsid w:val="00112CA2"/>
    <w:rsid w:val="001142F1"/>
    <w:rsid w:val="00124B9B"/>
    <w:rsid w:val="00125FAF"/>
    <w:rsid w:val="0012746C"/>
    <w:rsid w:val="00131CEA"/>
    <w:rsid w:val="00137B1E"/>
    <w:rsid w:val="00141EAF"/>
    <w:rsid w:val="00155F7C"/>
    <w:rsid w:val="00156FB2"/>
    <w:rsid w:val="00161C8B"/>
    <w:rsid w:val="001632AA"/>
    <w:rsid w:val="001667B8"/>
    <w:rsid w:val="00167B78"/>
    <w:rsid w:val="00172969"/>
    <w:rsid w:val="001753EB"/>
    <w:rsid w:val="00175C33"/>
    <w:rsid w:val="001770D9"/>
    <w:rsid w:val="0017756F"/>
    <w:rsid w:val="0017786A"/>
    <w:rsid w:val="001850A5"/>
    <w:rsid w:val="00185A7C"/>
    <w:rsid w:val="00193EB5"/>
    <w:rsid w:val="001A14C2"/>
    <w:rsid w:val="001A1514"/>
    <w:rsid w:val="001A1FB8"/>
    <w:rsid w:val="001A24E0"/>
    <w:rsid w:val="001B218A"/>
    <w:rsid w:val="001B648B"/>
    <w:rsid w:val="001B68F5"/>
    <w:rsid w:val="001B6F24"/>
    <w:rsid w:val="001C4CDE"/>
    <w:rsid w:val="001C554F"/>
    <w:rsid w:val="001C6820"/>
    <w:rsid w:val="001D466B"/>
    <w:rsid w:val="001D662D"/>
    <w:rsid w:val="001E5D6D"/>
    <w:rsid w:val="001F050A"/>
    <w:rsid w:val="001F1C60"/>
    <w:rsid w:val="001F2B9D"/>
    <w:rsid w:val="001F40B9"/>
    <w:rsid w:val="0020524B"/>
    <w:rsid w:val="0020680C"/>
    <w:rsid w:val="00210364"/>
    <w:rsid w:val="00212BAC"/>
    <w:rsid w:val="00213BB7"/>
    <w:rsid w:val="00222D23"/>
    <w:rsid w:val="0022705A"/>
    <w:rsid w:val="002270BB"/>
    <w:rsid w:val="00227F49"/>
    <w:rsid w:val="0023459E"/>
    <w:rsid w:val="002404C6"/>
    <w:rsid w:val="00241AB1"/>
    <w:rsid w:val="002455CD"/>
    <w:rsid w:val="0024661E"/>
    <w:rsid w:val="00247DEC"/>
    <w:rsid w:val="00254412"/>
    <w:rsid w:val="002546CA"/>
    <w:rsid w:val="002554EA"/>
    <w:rsid w:val="00256DFC"/>
    <w:rsid w:val="002578EB"/>
    <w:rsid w:val="00260E2F"/>
    <w:rsid w:val="00261DFC"/>
    <w:rsid w:val="00263642"/>
    <w:rsid w:val="00266D7D"/>
    <w:rsid w:val="00271984"/>
    <w:rsid w:val="0027240A"/>
    <w:rsid w:val="002733A2"/>
    <w:rsid w:val="00276B61"/>
    <w:rsid w:val="002774FE"/>
    <w:rsid w:val="00281016"/>
    <w:rsid w:val="00281B94"/>
    <w:rsid w:val="002935F8"/>
    <w:rsid w:val="0029388E"/>
    <w:rsid w:val="00293A15"/>
    <w:rsid w:val="00293DBC"/>
    <w:rsid w:val="00294A64"/>
    <w:rsid w:val="00295B8A"/>
    <w:rsid w:val="002A584D"/>
    <w:rsid w:val="002B2811"/>
    <w:rsid w:val="002B2FA4"/>
    <w:rsid w:val="002B50E2"/>
    <w:rsid w:val="002B69D0"/>
    <w:rsid w:val="002B74B6"/>
    <w:rsid w:val="002C4F51"/>
    <w:rsid w:val="002D1C6B"/>
    <w:rsid w:val="002D5130"/>
    <w:rsid w:val="002D6B31"/>
    <w:rsid w:val="002D6D88"/>
    <w:rsid w:val="002D7195"/>
    <w:rsid w:val="002D739E"/>
    <w:rsid w:val="002E160E"/>
    <w:rsid w:val="002E1DEF"/>
    <w:rsid w:val="002E2B0F"/>
    <w:rsid w:val="002F1286"/>
    <w:rsid w:val="002F4BF3"/>
    <w:rsid w:val="002F580C"/>
    <w:rsid w:val="00302344"/>
    <w:rsid w:val="00303875"/>
    <w:rsid w:val="00304756"/>
    <w:rsid w:val="00305434"/>
    <w:rsid w:val="00305698"/>
    <w:rsid w:val="00313E85"/>
    <w:rsid w:val="0031679E"/>
    <w:rsid w:val="003170A9"/>
    <w:rsid w:val="00323506"/>
    <w:rsid w:val="0033136F"/>
    <w:rsid w:val="003422DF"/>
    <w:rsid w:val="0034674F"/>
    <w:rsid w:val="0034766C"/>
    <w:rsid w:val="00351F8D"/>
    <w:rsid w:val="003550BA"/>
    <w:rsid w:val="00361802"/>
    <w:rsid w:val="00363876"/>
    <w:rsid w:val="00370F5D"/>
    <w:rsid w:val="00377217"/>
    <w:rsid w:val="00390F19"/>
    <w:rsid w:val="003914B9"/>
    <w:rsid w:val="00395873"/>
    <w:rsid w:val="00396B3C"/>
    <w:rsid w:val="00397232"/>
    <w:rsid w:val="003A028F"/>
    <w:rsid w:val="003A0822"/>
    <w:rsid w:val="003A2A4E"/>
    <w:rsid w:val="003A591C"/>
    <w:rsid w:val="003A5CF7"/>
    <w:rsid w:val="003A7B81"/>
    <w:rsid w:val="003B26F5"/>
    <w:rsid w:val="003B326D"/>
    <w:rsid w:val="003B4AE5"/>
    <w:rsid w:val="003B513B"/>
    <w:rsid w:val="003C21FF"/>
    <w:rsid w:val="003C266A"/>
    <w:rsid w:val="003C4CCA"/>
    <w:rsid w:val="003C6985"/>
    <w:rsid w:val="003D4036"/>
    <w:rsid w:val="003D589C"/>
    <w:rsid w:val="003D62F8"/>
    <w:rsid w:val="003D6A80"/>
    <w:rsid w:val="003D7040"/>
    <w:rsid w:val="003E0F91"/>
    <w:rsid w:val="003E26F6"/>
    <w:rsid w:val="003E3DDE"/>
    <w:rsid w:val="003E3DF9"/>
    <w:rsid w:val="003E449B"/>
    <w:rsid w:val="003E6838"/>
    <w:rsid w:val="003F0142"/>
    <w:rsid w:val="003F0D12"/>
    <w:rsid w:val="003F0ECD"/>
    <w:rsid w:val="003F3D03"/>
    <w:rsid w:val="003F6557"/>
    <w:rsid w:val="00402AE6"/>
    <w:rsid w:val="00404288"/>
    <w:rsid w:val="0040530B"/>
    <w:rsid w:val="0040550F"/>
    <w:rsid w:val="004121DA"/>
    <w:rsid w:val="00415F58"/>
    <w:rsid w:val="00421ADA"/>
    <w:rsid w:val="00421C5E"/>
    <w:rsid w:val="0042395F"/>
    <w:rsid w:val="004257DA"/>
    <w:rsid w:val="004258E0"/>
    <w:rsid w:val="00427C67"/>
    <w:rsid w:val="00430627"/>
    <w:rsid w:val="00433C05"/>
    <w:rsid w:val="004349E8"/>
    <w:rsid w:val="0044071C"/>
    <w:rsid w:val="00444A59"/>
    <w:rsid w:val="004509B1"/>
    <w:rsid w:val="00450B64"/>
    <w:rsid w:val="00453DC7"/>
    <w:rsid w:val="00453E54"/>
    <w:rsid w:val="00454696"/>
    <w:rsid w:val="00455A71"/>
    <w:rsid w:val="004564FA"/>
    <w:rsid w:val="00457D7F"/>
    <w:rsid w:val="00460283"/>
    <w:rsid w:val="004606A4"/>
    <w:rsid w:val="00461799"/>
    <w:rsid w:val="004664EE"/>
    <w:rsid w:val="004726FF"/>
    <w:rsid w:val="004734E8"/>
    <w:rsid w:val="004917B7"/>
    <w:rsid w:val="00495EE5"/>
    <w:rsid w:val="00496192"/>
    <w:rsid w:val="004B2C45"/>
    <w:rsid w:val="004B449B"/>
    <w:rsid w:val="004B4668"/>
    <w:rsid w:val="004B7096"/>
    <w:rsid w:val="004B77C1"/>
    <w:rsid w:val="004C4288"/>
    <w:rsid w:val="004C7BE8"/>
    <w:rsid w:val="004D4EB4"/>
    <w:rsid w:val="004E2B9B"/>
    <w:rsid w:val="004E66AD"/>
    <w:rsid w:val="004E7811"/>
    <w:rsid w:val="004F040D"/>
    <w:rsid w:val="00501FA3"/>
    <w:rsid w:val="00503263"/>
    <w:rsid w:val="0050338F"/>
    <w:rsid w:val="00505DA4"/>
    <w:rsid w:val="0050777B"/>
    <w:rsid w:val="005077DD"/>
    <w:rsid w:val="00507CFD"/>
    <w:rsid w:val="00513909"/>
    <w:rsid w:val="005153C3"/>
    <w:rsid w:val="005203F5"/>
    <w:rsid w:val="0052475F"/>
    <w:rsid w:val="00524AB7"/>
    <w:rsid w:val="005271D7"/>
    <w:rsid w:val="00532D85"/>
    <w:rsid w:val="00533408"/>
    <w:rsid w:val="00540367"/>
    <w:rsid w:val="005405CB"/>
    <w:rsid w:val="005416AA"/>
    <w:rsid w:val="005444AC"/>
    <w:rsid w:val="00551A68"/>
    <w:rsid w:val="005528E5"/>
    <w:rsid w:val="00566A26"/>
    <w:rsid w:val="00566B7A"/>
    <w:rsid w:val="005739C5"/>
    <w:rsid w:val="00573C83"/>
    <w:rsid w:val="005805C3"/>
    <w:rsid w:val="00580BDE"/>
    <w:rsid w:val="00585CA9"/>
    <w:rsid w:val="00590D28"/>
    <w:rsid w:val="00595FF0"/>
    <w:rsid w:val="005A2822"/>
    <w:rsid w:val="005A5B91"/>
    <w:rsid w:val="005B2DEF"/>
    <w:rsid w:val="005B2E9A"/>
    <w:rsid w:val="005B456A"/>
    <w:rsid w:val="005C1378"/>
    <w:rsid w:val="005D0ECA"/>
    <w:rsid w:val="005D1117"/>
    <w:rsid w:val="005D7639"/>
    <w:rsid w:val="005D7A4F"/>
    <w:rsid w:val="005E205B"/>
    <w:rsid w:val="005E4283"/>
    <w:rsid w:val="005F19EE"/>
    <w:rsid w:val="005F2FCC"/>
    <w:rsid w:val="0061416D"/>
    <w:rsid w:val="006400D8"/>
    <w:rsid w:val="006437B1"/>
    <w:rsid w:val="006444F3"/>
    <w:rsid w:val="00644F11"/>
    <w:rsid w:val="00645D7A"/>
    <w:rsid w:val="00651218"/>
    <w:rsid w:val="00652956"/>
    <w:rsid w:val="006543A2"/>
    <w:rsid w:val="00660558"/>
    <w:rsid w:val="00660866"/>
    <w:rsid w:val="00663C81"/>
    <w:rsid w:val="006649D8"/>
    <w:rsid w:val="00670173"/>
    <w:rsid w:val="0067420E"/>
    <w:rsid w:val="006764D9"/>
    <w:rsid w:val="00681263"/>
    <w:rsid w:val="006813B6"/>
    <w:rsid w:val="0069199B"/>
    <w:rsid w:val="006A0BC8"/>
    <w:rsid w:val="006A49F0"/>
    <w:rsid w:val="006B02BE"/>
    <w:rsid w:val="006B0E0E"/>
    <w:rsid w:val="006B3CC1"/>
    <w:rsid w:val="006B48E6"/>
    <w:rsid w:val="006C45DB"/>
    <w:rsid w:val="006C4BE5"/>
    <w:rsid w:val="006C6F8B"/>
    <w:rsid w:val="006C7036"/>
    <w:rsid w:val="006D0C1D"/>
    <w:rsid w:val="006D4057"/>
    <w:rsid w:val="006D60B8"/>
    <w:rsid w:val="006E509C"/>
    <w:rsid w:val="006F03B8"/>
    <w:rsid w:val="006F3652"/>
    <w:rsid w:val="006F648E"/>
    <w:rsid w:val="00702267"/>
    <w:rsid w:val="0070772B"/>
    <w:rsid w:val="00717942"/>
    <w:rsid w:val="00722C25"/>
    <w:rsid w:val="007253A2"/>
    <w:rsid w:val="0072552A"/>
    <w:rsid w:val="00730228"/>
    <w:rsid w:val="00731A0D"/>
    <w:rsid w:val="00731CE3"/>
    <w:rsid w:val="00736A4C"/>
    <w:rsid w:val="0074268A"/>
    <w:rsid w:val="007428C6"/>
    <w:rsid w:val="007452F9"/>
    <w:rsid w:val="00745C1F"/>
    <w:rsid w:val="00752D4A"/>
    <w:rsid w:val="00752EE1"/>
    <w:rsid w:val="00754EC6"/>
    <w:rsid w:val="00755F4C"/>
    <w:rsid w:val="00763F26"/>
    <w:rsid w:val="00764630"/>
    <w:rsid w:val="007662C1"/>
    <w:rsid w:val="00770402"/>
    <w:rsid w:val="00780FE4"/>
    <w:rsid w:val="007814D5"/>
    <w:rsid w:val="0078222E"/>
    <w:rsid w:val="00784893"/>
    <w:rsid w:val="00787665"/>
    <w:rsid w:val="00790263"/>
    <w:rsid w:val="0079116D"/>
    <w:rsid w:val="00792E9B"/>
    <w:rsid w:val="00792EEE"/>
    <w:rsid w:val="00794DE0"/>
    <w:rsid w:val="00797525"/>
    <w:rsid w:val="007A2F81"/>
    <w:rsid w:val="007A4B1A"/>
    <w:rsid w:val="007A6CF5"/>
    <w:rsid w:val="007B61D0"/>
    <w:rsid w:val="007C23B1"/>
    <w:rsid w:val="007C4FAA"/>
    <w:rsid w:val="007F293A"/>
    <w:rsid w:val="007F2DCC"/>
    <w:rsid w:val="007F5A54"/>
    <w:rsid w:val="007F7EDA"/>
    <w:rsid w:val="00803FFE"/>
    <w:rsid w:val="00804DF7"/>
    <w:rsid w:val="00804F10"/>
    <w:rsid w:val="00810D9C"/>
    <w:rsid w:val="00812282"/>
    <w:rsid w:val="008136F5"/>
    <w:rsid w:val="00814BD6"/>
    <w:rsid w:val="008156BD"/>
    <w:rsid w:val="0081791F"/>
    <w:rsid w:val="00823418"/>
    <w:rsid w:val="008250FE"/>
    <w:rsid w:val="0083196B"/>
    <w:rsid w:val="00831A7D"/>
    <w:rsid w:val="00832EE0"/>
    <w:rsid w:val="008349BA"/>
    <w:rsid w:val="00836614"/>
    <w:rsid w:val="00840A20"/>
    <w:rsid w:val="00840CCA"/>
    <w:rsid w:val="00841E71"/>
    <w:rsid w:val="00850984"/>
    <w:rsid w:val="00851E5B"/>
    <w:rsid w:val="0085309A"/>
    <w:rsid w:val="00853296"/>
    <w:rsid w:val="00856F95"/>
    <w:rsid w:val="00857031"/>
    <w:rsid w:val="00860EF6"/>
    <w:rsid w:val="00863719"/>
    <w:rsid w:val="00867C07"/>
    <w:rsid w:val="00873A16"/>
    <w:rsid w:val="0087702F"/>
    <w:rsid w:val="00880CCA"/>
    <w:rsid w:val="008812AF"/>
    <w:rsid w:val="00886967"/>
    <w:rsid w:val="00887471"/>
    <w:rsid w:val="0089697D"/>
    <w:rsid w:val="008A09A0"/>
    <w:rsid w:val="008A130B"/>
    <w:rsid w:val="008A3391"/>
    <w:rsid w:val="008A4A74"/>
    <w:rsid w:val="008B0A7B"/>
    <w:rsid w:val="008B25CD"/>
    <w:rsid w:val="008B3ED7"/>
    <w:rsid w:val="008B4ACF"/>
    <w:rsid w:val="008C4004"/>
    <w:rsid w:val="008C6798"/>
    <w:rsid w:val="008C683C"/>
    <w:rsid w:val="008D379A"/>
    <w:rsid w:val="008D75FD"/>
    <w:rsid w:val="008E0E00"/>
    <w:rsid w:val="008E548D"/>
    <w:rsid w:val="008E723F"/>
    <w:rsid w:val="008E72AD"/>
    <w:rsid w:val="008F1B11"/>
    <w:rsid w:val="008F2D9B"/>
    <w:rsid w:val="008F3122"/>
    <w:rsid w:val="008F79C5"/>
    <w:rsid w:val="00901843"/>
    <w:rsid w:val="00902AA6"/>
    <w:rsid w:val="00904B4E"/>
    <w:rsid w:val="00910902"/>
    <w:rsid w:val="00910D7F"/>
    <w:rsid w:val="00912785"/>
    <w:rsid w:val="00921CE1"/>
    <w:rsid w:val="0092234C"/>
    <w:rsid w:val="0092361A"/>
    <w:rsid w:val="00927659"/>
    <w:rsid w:val="0093026C"/>
    <w:rsid w:val="0093033B"/>
    <w:rsid w:val="00935871"/>
    <w:rsid w:val="00935CD1"/>
    <w:rsid w:val="00937110"/>
    <w:rsid w:val="009373A5"/>
    <w:rsid w:val="009400A5"/>
    <w:rsid w:val="0094630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43B4"/>
    <w:rsid w:val="009770B7"/>
    <w:rsid w:val="00977601"/>
    <w:rsid w:val="00980504"/>
    <w:rsid w:val="009820A9"/>
    <w:rsid w:val="00983F9B"/>
    <w:rsid w:val="00985D53"/>
    <w:rsid w:val="00986E00"/>
    <w:rsid w:val="009874D2"/>
    <w:rsid w:val="00997096"/>
    <w:rsid w:val="009A6255"/>
    <w:rsid w:val="009A74A8"/>
    <w:rsid w:val="009A7C2C"/>
    <w:rsid w:val="009B278E"/>
    <w:rsid w:val="009B36B4"/>
    <w:rsid w:val="009B4E9A"/>
    <w:rsid w:val="009B5BB4"/>
    <w:rsid w:val="009B6E6A"/>
    <w:rsid w:val="009C04F9"/>
    <w:rsid w:val="009C7344"/>
    <w:rsid w:val="009D0EF0"/>
    <w:rsid w:val="009D2683"/>
    <w:rsid w:val="009D2EE9"/>
    <w:rsid w:val="009D5B77"/>
    <w:rsid w:val="009E0ACA"/>
    <w:rsid w:val="009E2494"/>
    <w:rsid w:val="009E6657"/>
    <w:rsid w:val="009E7587"/>
    <w:rsid w:val="009E7761"/>
    <w:rsid w:val="009F19A3"/>
    <w:rsid w:val="009F6CA2"/>
    <w:rsid w:val="00A0059A"/>
    <w:rsid w:val="00A00BE4"/>
    <w:rsid w:val="00A02490"/>
    <w:rsid w:val="00A03186"/>
    <w:rsid w:val="00A07002"/>
    <w:rsid w:val="00A1178A"/>
    <w:rsid w:val="00A11E21"/>
    <w:rsid w:val="00A1393D"/>
    <w:rsid w:val="00A152FC"/>
    <w:rsid w:val="00A1535E"/>
    <w:rsid w:val="00A20DCD"/>
    <w:rsid w:val="00A221C0"/>
    <w:rsid w:val="00A26FF2"/>
    <w:rsid w:val="00A34B66"/>
    <w:rsid w:val="00A35724"/>
    <w:rsid w:val="00A36105"/>
    <w:rsid w:val="00A45F1F"/>
    <w:rsid w:val="00A520CF"/>
    <w:rsid w:val="00A528B5"/>
    <w:rsid w:val="00A56AF9"/>
    <w:rsid w:val="00A618FB"/>
    <w:rsid w:val="00A62C04"/>
    <w:rsid w:val="00A62C10"/>
    <w:rsid w:val="00A75373"/>
    <w:rsid w:val="00A80AA0"/>
    <w:rsid w:val="00A812ED"/>
    <w:rsid w:val="00A83E71"/>
    <w:rsid w:val="00A841C5"/>
    <w:rsid w:val="00A9345A"/>
    <w:rsid w:val="00A946DE"/>
    <w:rsid w:val="00A94971"/>
    <w:rsid w:val="00A9507E"/>
    <w:rsid w:val="00A96A90"/>
    <w:rsid w:val="00AA0283"/>
    <w:rsid w:val="00AA1659"/>
    <w:rsid w:val="00AB3F01"/>
    <w:rsid w:val="00AB6A90"/>
    <w:rsid w:val="00AC4667"/>
    <w:rsid w:val="00AC4AB0"/>
    <w:rsid w:val="00AC5399"/>
    <w:rsid w:val="00AD5158"/>
    <w:rsid w:val="00AE0A2A"/>
    <w:rsid w:val="00AE1600"/>
    <w:rsid w:val="00AE304B"/>
    <w:rsid w:val="00AE53B6"/>
    <w:rsid w:val="00AF6B1E"/>
    <w:rsid w:val="00B00580"/>
    <w:rsid w:val="00B041A3"/>
    <w:rsid w:val="00B0426C"/>
    <w:rsid w:val="00B04D12"/>
    <w:rsid w:val="00B054E2"/>
    <w:rsid w:val="00B0561F"/>
    <w:rsid w:val="00B11281"/>
    <w:rsid w:val="00B12699"/>
    <w:rsid w:val="00B1732F"/>
    <w:rsid w:val="00B20643"/>
    <w:rsid w:val="00B21B9C"/>
    <w:rsid w:val="00B24B45"/>
    <w:rsid w:val="00B25242"/>
    <w:rsid w:val="00B25CC9"/>
    <w:rsid w:val="00B276AB"/>
    <w:rsid w:val="00B31D6D"/>
    <w:rsid w:val="00B35FAE"/>
    <w:rsid w:val="00B42185"/>
    <w:rsid w:val="00B446DE"/>
    <w:rsid w:val="00B46BCE"/>
    <w:rsid w:val="00B46F2D"/>
    <w:rsid w:val="00B47509"/>
    <w:rsid w:val="00B50DB3"/>
    <w:rsid w:val="00B52680"/>
    <w:rsid w:val="00B5382C"/>
    <w:rsid w:val="00B53C0D"/>
    <w:rsid w:val="00B56229"/>
    <w:rsid w:val="00B56806"/>
    <w:rsid w:val="00B56D18"/>
    <w:rsid w:val="00B572EF"/>
    <w:rsid w:val="00B6020D"/>
    <w:rsid w:val="00B6267D"/>
    <w:rsid w:val="00B67323"/>
    <w:rsid w:val="00B67970"/>
    <w:rsid w:val="00B67E95"/>
    <w:rsid w:val="00B67EA6"/>
    <w:rsid w:val="00B73852"/>
    <w:rsid w:val="00B77CF2"/>
    <w:rsid w:val="00B84DF1"/>
    <w:rsid w:val="00B8579F"/>
    <w:rsid w:val="00B87998"/>
    <w:rsid w:val="00B87A1E"/>
    <w:rsid w:val="00B92249"/>
    <w:rsid w:val="00B945C7"/>
    <w:rsid w:val="00B9511A"/>
    <w:rsid w:val="00B963B4"/>
    <w:rsid w:val="00B96A48"/>
    <w:rsid w:val="00B970B8"/>
    <w:rsid w:val="00BA55E5"/>
    <w:rsid w:val="00BA561D"/>
    <w:rsid w:val="00BB393E"/>
    <w:rsid w:val="00BB57BE"/>
    <w:rsid w:val="00BC0559"/>
    <w:rsid w:val="00BC0F77"/>
    <w:rsid w:val="00BC255F"/>
    <w:rsid w:val="00BC582F"/>
    <w:rsid w:val="00BC6C41"/>
    <w:rsid w:val="00BC71BC"/>
    <w:rsid w:val="00BC7DCC"/>
    <w:rsid w:val="00BD1DA8"/>
    <w:rsid w:val="00BE00F6"/>
    <w:rsid w:val="00BF0BBF"/>
    <w:rsid w:val="00BF4910"/>
    <w:rsid w:val="00BF7173"/>
    <w:rsid w:val="00C015B8"/>
    <w:rsid w:val="00C02B6D"/>
    <w:rsid w:val="00C04450"/>
    <w:rsid w:val="00C046D3"/>
    <w:rsid w:val="00C12801"/>
    <w:rsid w:val="00C13C5F"/>
    <w:rsid w:val="00C1731E"/>
    <w:rsid w:val="00C21C23"/>
    <w:rsid w:val="00C23906"/>
    <w:rsid w:val="00C31977"/>
    <w:rsid w:val="00C31A22"/>
    <w:rsid w:val="00C32B1D"/>
    <w:rsid w:val="00C352CD"/>
    <w:rsid w:val="00C36F0E"/>
    <w:rsid w:val="00C421EA"/>
    <w:rsid w:val="00C4258C"/>
    <w:rsid w:val="00C4323E"/>
    <w:rsid w:val="00C478D8"/>
    <w:rsid w:val="00C544C4"/>
    <w:rsid w:val="00C56CD1"/>
    <w:rsid w:val="00C57376"/>
    <w:rsid w:val="00C6092C"/>
    <w:rsid w:val="00C62DB5"/>
    <w:rsid w:val="00C662B9"/>
    <w:rsid w:val="00C66DA4"/>
    <w:rsid w:val="00C678E8"/>
    <w:rsid w:val="00C72227"/>
    <w:rsid w:val="00C76DA5"/>
    <w:rsid w:val="00C80508"/>
    <w:rsid w:val="00C820BD"/>
    <w:rsid w:val="00C83DE5"/>
    <w:rsid w:val="00C932F2"/>
    <w:rsid w:val="00C94501"/>
    <w:rsid w:val="00CA1CF4"/>
    <w:rsid w:val="00CA3378"/>
    <w:rsid w:val="00CA562C"/>
    <w:rsid w:val="00CA5AB7"/>
    <w:rsid w:val="00CA6AB0"/>
    <w:rsid w:val="00CA7048"/>
    <w:rsid w:val="00CB03B0"/>
    <w:rsid w:val="00CB0CD6"/>
    <w:rsid w:val="00CB0E5B"/>
    <w:rsid w:val="00CB3062"/>
    <w:rsid w:val="00CB5AD6"/>
    <w:rsid w:val="00CC3D78"/>
    <w:rsid w:val="00CC42C8"/>
    <w:rsid w:val="00CC4A0C"/>
    <w:rsid w:val="00CC51D5"/>
    <w:rsid w:val="00CC62F3"/>
    <w:rsid w:val="00CC73E4"/>
    <w:rsid w:val="00CC7DC4"/>
    <w:rsid w:val="00CD4FD6"/>
    <w:rsid w:val="00CD6613"/>
    <w:rsid w:val="00CD7AAA"/>
    <w:rsid w:val="00CE4B90"/>
    <w:rsid w:val="00CF28E9"/>
    <w:rsid w:val="00CF694D"/>
    <w:rsid w:val="00CF76A7"/>
    <w:rsid w:val="00D01257"/>
    <w:rsid w:val="00D12F10"/>
    <w:rsid w:val="00D224F7"/>
    <w:rsid w:val="00D25A5E"/>
    <w:rsid w:val="00D31545"/>
    <w:rsid w:val="00D3179C"/>
    <w:rsid w:val="00D3211C"/>
    <w:rsid w:val="00D32D91"/>
    <w:rsid w:val="00D330EB"/>
    <w:rsid w:val="00D33A31"/>
    <w:rsid w:val="00D34372"/>
    <w:rsid w:val="00D367B9"/>
    <w:rsid w:val="00D40363"/>
    <w:rsid w:val="00D41247"/>
    <w:rsid w:val="00D41576"/>
    <w:rsid w:val="00D46B81"/>
    <w:rsid w:val="00D51830"/>
    <w:rsid w:val="00D61D05"/>
    <w:rsid w:val="00D62DBF"/>
    <w:rsid w:val="00D65B47"/>
    <w:rsid w:val="00D661A0"/>
    <w:rsid w:val="00D662D6"/>
    <w:rsid w:val="00D67A6F"/>
    <w:rsid w:val="00D70B13"/>
    <w:rsid w:val="00D71900"/>
    <w:rsid w:val="00D77617"/>
    <w:rsid w:val="00D80532"/>
    <w:rsid w:val="00D81505"/>
    <w:rsid w:val="00D84F3E"/>
    <w:rsid w:val="00D8573E"/>
    <w:rsid w:val="00D864E4"/>
    <w:rsid w:val="00D9066B"/>
    <w:rsid w:val="00D91774"/>
    <w:rsid w:val="00D920DD"/>
    <w:rsid w:val="00D93056"/>
    <w:rsid w:val="00D95D4C"/>
    <w:rsid w:val="00D96918"/>
    <w:rsid w:val="00D96B24"/>
    <w:rsid w:val="00D97497"/>
    <w:rsid w:val="00DA00D2"/>
    <w:rsid w:val="00DA1E52"/>
    <w:rsid w:val="00DA3474"/>
    <w:rsid w:val="00DA659D"/>
    <w:rsid w:val="00DA78A0"/>
    <w:rsid w:val="00DB1D66"/>
    <w:rsid w:val="00DB6416"/>
    <w:rsid w:val="00DC25E5"/>
    <w:rsid w:val="00DC50A9"/>
    <w:rsid w:val="00DC68D6"/>
    <w:rsid w:val="00DC6DC2"/>
    <w:rsid w:val="00DD36E0"/>
    <w:rsid w:val="00DD6B98"/>
    <w:rsid w:val="00DE0241"/>
    <w:rsid w:val="00DE1492"/>
    <w:rsid w:val="00DE756E"/>
    <w:rsid w:val="00DE7ABB"/>
    <w:rsid w:val="00DF1461"/>
    <w:rsid w:val="00DF21F2"/>
    <w:rsid w:val="00DF7E82"/>
    <w:rsid w:val="00E01C1D"/>
    <w:rsid w:val="00E02FD4"/>
    <w:rsid w:val="00E062E3"/>
    <w:rsid w:val="00E06B57"/>
    <w:rsid w:val="00E162DA"/>
    <w:rsid w:val="00E169A5"/>
    <w:rsid w:val="00E16F16"/>
    <w:rsid w:val="00E17F1F"/>
    <w:rsid w:val="00E20A90"/>
    <w:rsid w:val="00E2133E"/>
    <w:rsid w:val="00E21E76"/>
    <w:rsid w:val="00E25C45"/>
    <w:rsid w:val="00E30987"/>
    <w:rsid w:val="00E43F90"/>
    <w:rsid w:val="00E44BE6"/>
    <w:rsid w:val="00E44DD0"/>
    <w:rsid w:val="00E45E02"/>
    <w:rsid w:val="00E477AF"/>
    <w:rsid w:val="00E52C08"/>
    <w:rsid w:val="00E544B3"/>
    <w:rsid w:val="00E55D26"/>
    <w:rsid w:val="00E56834"/>
    <w:rsid w:val="00E6062D"/>
    <w:rsid w:val="00E61289"/>
    <w:rsid w:val="00E62AF3"/>
    <w:rsid w:val="00E67B5C"/>
    <w:rsid w:val="00E708D7"/>
    <w:rsid w:val="00E71C42"/>
    <w:rsid w:val="00E753A3"/>
    <w:rsid w:val="00E80011"/>
    <w:rsid w:val="00E81182"/>
    <w:rsid w:val="00E811FA"/>
    <w:rsid w:val="00E83C67"/>
    <w:rsid w:val="00E84027"/>
    <w:rsid w:val="00E8480E"/>
    <w:rsid w:val="00E8546F"/>
    <w:rsid w:val="00E86AB4"/>
    <w:rsid w:val="00E9540B"/>
    <w:rsid w:val="00E96196"/>
    <w:rsid w:val="00EA205C"/>
    <w:rsid w:val="00EA4A93"/>
    <w:rsid w:val="00EA7E4F"/>
    <w:rsid w:val="00EB11DD"/>
    <w:rsid w:val="00EB5622"/>
    <w:rsid w:val="00EC10C8"/>
    <w:rsid w:val="00EC265D"/>
    <w:rsid w:val="00EC30D8"/>
    <w:rsid w:val="00EC3F38"/>
    <w:rsid w:val="00EC45B0"/>
    <w:rsid w:val="00EC7481"/>
    <w:rsid w:val="00ED2F0D"/>
    <w:rsid w:val="00ED7368"/>
    <w:rsid w:val="00EE03E2"/>
    <w:rsid w:val="00EE1F35"/>
    <w:rsid w:val="00EE3ABA"/>
    <w:rsid w:val="00EE7E12"/>
    <w:rsid w:val="00EF0E23"/>
    <w:rsid w:val="00EF1E31"/>
    <w:rsid w:val="00EF21F1"/>
    <w:rsid w:val="00EF7A12"/>
    <w:rsid w:val="00F06970"/>
    <w:rsid w:val="00F070F6"/>
    <w:rsid w:val="00F075DF"/>
    <w:rsid w:val="00F07A36"/>
    <w:rsid w:val="00F10127"/>
    <w:rsid w:val="00F134FC"/>
    <w:rsid w:val="00F1780D"/>
    <w:rsid w:val="00F2162C"/>
    <w:rsid w:val="00F2349D"/>
    <w:rsid w:val="00F3367D"/>
    <w:rsid w:val="00F33D3E"/>
    <w:rsid w:val="00F36F13"/>
    <w:rsid w:val="00F373E6"/>
    <w:rsid w:val="00F4158E"/>
    <w:rsid w:val="00F43D1D"/>
    <w:rsid w:val="00F4694B"/>
    <w:rsid w:val="00F509CC"/>
    <w:rsid w:val="00F51075"/>
    <w:rsid w:val="00F51373"/>
    <w:rsid w:val="00F51A1F"/>
    <w:rsid w:val="00F51FDA"/>
    <w:rsid w:val="00F56EF5"/>
    <w:rsid w:val="00F6088E"/>
    <w:rsid w:val="00F60B8F"/>
    <w:rsid w:val="00F62633"/>
    <w:rsid w:val="00F63E74"/>
    <w:rsid w:val="00F63F76"/>
    <w:rsid w:val="00F65783"/>
    <w:rsid w:val="00F72FD9"/>
    <w:rsid w:val="00F74968"/>
    <w:rsid w:val="00F77FF8"/>
    <w:rsid w:val="00F82397"/>
    <w:rsid w:val="00F8299A"/>
    <w:rsid w:val="00F8303F"/>
    <w:rsid w:val="00F8379F"/>
    <w:rsid w:val="00F84ACF"/>
    <w:rsid w:val="00F84CF0"/>
    <w:rsid w:val="00F879D9"/>
    <w:rsid w:val="00F935A5"/>
    <w:rsid w:val="00F96854"/>
    <w:rsid w:val="00FA0C08"/>
    <w:rsid w:val="00FA1832"/>
    <w:rsid w:val="00FA43EC"/>
    <w:rsid w:val="00FA6B22"/>
    <w:rsid w:val="00FB3CFB"/>
    <w:rsid w:val="00FB41EC"/>
    <w:rsid w:val="00FB49DB"/>
    <w:rsid w:val="00FC0010"/>
    <w:rsid w:val="00FC53D5"/>
    <w:rsid w:val="00FC7F9C"/>
    <w:rsid w:val="00FD333B"/>
    <w:rsid w:val="00FD53DF"/>
    <w:rsid w:val="00FD75FC"/>
    <w:rsid w:val="00FE754B"/>
    <w:rsid w:val="00FF0D08"/>
    <w:rsid w:val="00FF272A"/>
    <w:rsid w:val="00FF40A8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paragraph" w:styleId="Ttulo1">
    <w:name w:val="heading 1"/>
    <w:basedOn w:val="Normal"/>
    <w:link w:val="Ttulo1Car"/>
    <w:uiPriority w:val="99"/>
    <w:qFormat/>
    <w:locked/>
    <w:rsid w:val="00B5622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34B66"/>
    <w:rPr>
      <w:rFonts w:ascii="Cambria" w:hAnsi="Cambria" w:cs="Times New Roman"/>
      <w:b/>
      <w:bCs/>
      <w:kern w:val="32"/>
      <w:sz w:val="32"/>
      <w:szCs w:val="32"/>
      <w:lang w:val="ca-ES" w:eastAsia="ar-SA" w:bidi="ar-SA"/>
    </w:rPr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D0C1D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1">
    <w:name w:val="Llegenda1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D0C1D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D0C1D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D0C1D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984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668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Nota de premsa - </vt:lpstr>
    </vt:vector>
  </TitlesOfParts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creator>IRBL_Núria Brunet</dc:creator>
  <cp:lastModifiedBy>47693133B</cp:lastModifiedBy>
  <cp:revision>2</cp:revision>
  <cp:lastPrinted>2016-05-12T08:10:00Z</cp:lastPrinted>
  <dcterms:created xsi:type="dcterms:W3CDTF">2016-05-12T09:37:00Z</dcterms:created>
  <dcterms:modified xsi:type="dcterms:W3CDTF">2016-05-12T09:37:00Z</dcterms:modified>
</cp:coreProperties>
</file>